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0B84" w:rsidRDefault="00AE0B84" w:rsidP="00AE0B84">
      <w:pPr>
        <w:pStyle w:val="Textebrut"/>
      </w:pPr>
      <w:r>
        <w:t>Document n°1</w:t>
      </w:r>
    </w:p>
    <w:p w:rsidR="00AE0B84" w:rsidRDefault="00AE0B84" w:rsidP="00AE0B84">
      <w:pPr>
        <w:pStyle w:val="Textebrut"/>
      </w:pPr>
      <w:proofErr w:type="spellStart"/>
      <w:r>
        <w:t>Nlaunay</w:t>
      </w:r>
      <w:proofErr w:type="spellEnd"/>
    </w:p>
    <w:p w:rsidR="00AE0B84" w:rsidRDefault="00AE0B84" w:rsidP="00AE0B84">
      <w:pPr>
        <w:pStyle w:val="Textebrut"/>
      </w:pPr>
      <w:r>
        <w:t xml:space="preserve">A la vue des personnes auditées (institutionnels majeurs, grands groupes) pour établir la partie 1 sur la cartographie, le dialogue doit être absolument plus ouvert vers des acteurs plus variés : ouverture aux PME, TPE et </w:t>
      </w:r>
      <w:proofErr w:type="spellStart"/>
      <w:r>
        <w:t>start</w:t>
      </w:r>
      <w:proofErr w:type="spellEnd"/>
      <w:r>
        <w:t xml:space="preserve"> up mais aussi avec les laboratoires de recherche publics en y associant les IRT qui dans le cadre de PIA travaillent sur des thématiques connexes (ex IRT System X : </w:t>
      </w:r>
      <w:proofErr w:type="spellStart"/>
      <w:r>
        <w:t>smartcities</w:t>
      </w:r>
      <w:proofErr w:type="spellEnd"/>
      <w:r>
        <w:t>, véhicules connectés ….). A ce propos il faudrait inciter à ce que la normalisation afnor et CEN soit plus ouverte avec absence de tickets d’entrée pour ces acteurs privés de petites tailles et acteurs publics de recherche et développement.</w:t>
      </w:r>
    </w:p>
    <w:p w:rsidR="00AE0B84" w:rsidRDefault="00AE0B84" w:rsidP="00AE0B84">
      <w:pPr>
        <w:pStyle w:val="Textebrut"/>
      </w:pPr>
    </w:p>
    <w:p w:rsidR="00AE0B84" w:rsidRDefault="00AE0B84" w:rsidP="00AE0B84">
      <w:pPr>
        <w:pStyle w:val="Textebrut"/>
      </w:pPr>
      <w:r>
        <w:t xml:space="preserve">D’autre part, le point de vue utilisateur via un dialogue avec des acteurs du milieu associatif représentant les usagers </w:t>
      </w:r>
      <w:proofErr w:type="gramStart"/>
      <w:r>
        <w:t>( associations</w:t>
      </w:r>
      <w:proofErr w:type="gramEnd"/>
      <w:r>
        <w:t xml:space="preserve"> de consommateurs reconnues, LDH ….) devrait être considéré.</w:t>
      </w:r>
    </w:p>
    <w:p w:rsidR="00AE0B84" w:rsidRDefault="00AE0B84" w:rsidP="00AE0B84">
      <w:pPr>
        <w:pStyle w:val="Textebrut"/>
      </w:pPr>
    </w:p>
    <w:p w:rsidR="00AE0B84" w:rsidRDefault="00AE0B84" w:rsidP="00AE0B84">
      <w:pPr>
        <w:pStyle w:val="Textebrut"/>
      </w:pPr>
      <w:r>
        <w:t xml:space="preserve">Le message de la confiance utilisateur est bien explicité sur les 2 volets : sécurité et protection des données personnelles. Mais il manque dans ce chapitre la référence à deux textes de loi européens – le règlement GDPR General Data Protection </w:t>
      </w:r>
      <w:proofErr w:type="spellStart"/>
      <w:r>
        <w:t>Privacy</w:t>
      </w:r>
      <w:proofErr w:type="spellEnd"/>
      <w:r>
        <w:t xml:space="preserve"> – la directive NIS Ces deux textes rentreront en vigueur dès mai 2018 et tout contrevenant au règlement GDPR pourra se voir infliger une amende jusqu’à 4% de son CA mondial.</w:t>
      </w:r>
    </w:p>
    <w:p w:rsidR="00AE0B84" w:rsidRDefault="00AE0B84" w:rsidP="00AE0B84">
      <w:pPr>
        <w:pStyle w:val="Textebrut"/>
      </w:pPr>
      <w:r>
        <w:t xml:space="preserve">Ces deux éléments devraient être portés comme élément majeur pour démontrer l’urgence de solutions </w:t>
      </w:r>
      <w:proofErr w:type="spellStart"/>
      <w:r>
        <w:t>Privacy</w:t>
      </w:r>
      <w:proofErr w:type="spellEnd"/>
      <w:r>
        <w:t xml:space="preserve"> by Design et Security by Design pour les IOT pour instaurer la confiance mais aussi pour respecter la loi.</w:t>
      </w:r>
    </w:p>
    <w:p w:rsidR="00AE0B84" w:rsidRDefault="00AE0B84" w:rsidP="00AE0B84">
      <w:pPr>
        <w:pStyle w:val="Textebrut"/>
      </w:pPr>
    </w:p>
    <w:p w:rsidR="00AE0B84" w:rsidRDefault="00AE0B84" w:rsidP="00AE0B84">
      <w:pPr>
        <w:pStyle w:val="Textebrut"/>
      </w:pPr>
      <w:r>
        <w:t xml:space="preserve">Pour les modes d’adressage, il faut citer deux initiatives récentes en lien avec la </w:t>
      </w:r>
      <w:proofErr w:type="spellStart"/>
      <w:r>
        <w:t>blockchain</w:t>
      </w:r>
      <w:proofErr w:type="spellEnd"/>
      <w:r>
        <w:t xml:space="preserve"> – Lors de la dernière conférence à l’ONU ID2020, le sujet pour un identifiant par </w:t>
      </w:r>
      <w:proofErr w:type="spellStart"/>
      <w:r>
        <w:t>blockchain</w:t>
      </w:r>
      <w:proofErr w:type="spellEnd"/>
      <w:r>
        <w:t xml:space="preserve"> DID (</w:t>
      </w:r>
      <w:hyperlink r:id="rId5" w:history="1">
        <w:r>
          <w:rPr>
            <w:rStyle w:val="Lienhypertexte"/>
          </w:rPr>
          <w:t>https://github.com/WebOfTrustInfo/ID2020DesignWorkshop/blob/master/draft-documents/requirements-for-dids.md</w:t>
        </w:r>
      </w:hyperlink>
      <w:r>
        <w:t>) a déjà été traité.</w:t>
      </w:r>
    </w:p>
    <w:p w:rsidR="00AE0B84" w:rsidRDefault="00AE0B84" w:rsidP="00AE0B84">
      <w:pPr>
        <w:pStyle w:val="Textebrut"/>
      </w:pPr>
      <w:r>
        <w:t xml:space="preserve">– Au niveau CEN un travail normatif ouvert avec l’association </w:t>
      </w:r>
      <w:proofErr w:type="spellStart"/>
      <w:r>
        <w:t>Advertam</w:t>
      </w:r>
      <w:proofErr w:type="spellEnd"/>
      <w:r>
        <w:t xml:space="preserve"> (</w:t>
      </w:r>
      <w:hyperlink r:id="rId6" w:history="1">
        <w:r>
          <w:rPr>
            <w:rStyle w:val="Lienhypertexte"/>
          </w:rPr>
          <w:t>http://aeternam.eu/</w:t>
        </w:r>
      </w:hyperlink>
      <w:r>
        <w:t>) pour un identifiant ISAEN (</w:t>
      </w:r>
      <w:hyperlink r:id="rId7" w:history="1">
        <w:r>
          <w:rPr>
            <w:rStyle w:val="Lienhypertexte"/>
          </w:rPr>
          <w:t>https://www.cen.eu/work/areas/ICT/Pages/WS-IS%C3%86N.aspx</w:t>
        </w:r>
      </w:hyperlink>
      <w:r>
        <w:t>) est lancé pour conformité avec le règlement GDPR.</w:t>
      </w:r>
    </w:p>
    <w:p w:rsidR="00AE0B84" w:rsidRDefault="00AE0B84" w:rsidP="00AE0B84">
      <w:pPr>
        <w:pStyle w:val="Textebrut"/>
      </w:pPr>
    </w:p>
    <w:p w:rsidR="00AE0B84" w:rsidRDefault="00AE0B84" w:rsidP="00AE0B84">
      <w:pPr>
        <w:pStyle w:val="Textebrut"/>
      </w:pPr>
    </w:p>
    <w:p w:rsidR="00AE0B84" w:rsidRDefault="00AE0B84" w:rsidP="00AE0B84">
      <w:pPr>
        <w:pStyle w:val="Textebrut"/>
      </w:pPr>
      <w:r>
        <w:t xml:space="preserve">Je ne </w:t>
      </w:r>
      <w:proofErr w:type="spellStart"/>
      <w:proofErr w:type="gramStart"/>
      <w:r>
        <w:t>suit</w:t>
      </w:r>
      <w:proofErr w:type="spellEnd"/>
      <w:proofErr w:type="gramEnd"/>
      <w:r>
        <w:t xml:space="preserve"> pas d’accord avec la phrase suivante : « forcer l’interopérabilité risquerait de freiner, voire d’empêcher, l’innovation ».</w:t>
      </w:r>
    </w:p>
    <w:p w:rsidR="00AE0B84" w:rsidRDefault="00AE0B84" w:rsidP="00AE0B84">
      <w:pPr>
        <w:pStyle w:val="Textebrut"/>
      </w:pPr>
    </w:p>
    <w:p w:rsidR="00AE0B84" w:rsidRDefault="00AE0B84" w:rsidP="00AE0B84">
      <w:pPr>
        <w:pStyle w:val="Textebrut"/>
      </w:pPr>
      <w:r>
        <w:t>L’expérience du développement de la carte à puce dans les années 80-90 l’a largement démontré : la normalisation en vue d’orientations communes avec un enjeu d’interopérabilité fut l’élément clé du déploiement de la technologie.</w:t>
      </w:r>
    </w:p>
    <w:p w:rsidR="00AE0B84" w:rsidRDefault="00AE0B84" w:rsidP="00AE0B84">
      <w:pPr>
        <w:pStyle w:val="Textebrut"/>
      </w:pPr>
      <w:r>
        <w:t>Mais cela nécessite que l’état fixe des orientations majeures pour ensuite en décliner des spécifications permettant d’assurer l’interopérabilité. Mais en fait cela devrait se faire au niveau européen aujourd’hui pour faire face aux USA et aux GAFA.</w:t>
      </w:r>
    </w:p>
    <w:p w:rsidR="00AE0B84" w:rsidRDefault="00AE0B84" w:rsidP="00AE0B84">
      <w:pPr>
        <w:pStyle w:val="Textebrut"/>
      </w:pPr>
      <w:r>
        <w:t xml:space="preserve">Laisser libre le marché s’autoréguler peut également tuer des technologies émergentes dignes d’intérêt et plus fiables vis à vis d’un objectif commun d’autant plus qu’à l’heure actuelle le marché s’autorégule du côté des </w:t>
      </w:r>
      <w:proofErr w:type="spellStart"/>
      <w:r>
        <w:t>gafa</w:t>
      </w:r>
      <w:proofErr w:type="spellEnd"/>
      <w:r>
        <w:t xml:space="preserve"> américains.</w:t>
      </w:r>
    </w:p>
    <w:p w:rsidR="00AE0B84" w:rsidRDefault="00AE0B84" w:rsidP="00AE0B84">
      <w:pPr>
        <w:pStyle w:val="Textebrut"/>
      </w:pPr>
      <w:r>
        <w:t xml:space="preserve">D’autre part, les comités de standard sont aujourd’hui </w:t>
      </w:r>
      <w:proofErr w:type="spellStart"/>
      <w:r>
        <w:t>fagocités</w:t>
      </w:r>
      <w:proofErr w:type="spellEnd"/>
      <w:r>
        <w:t xml:space="preserve"> par les grandes entreprises car le ticket d’entrée est </w:t>
      </w:r>
      <w:proofErr w:type="spellStart"/>
      <w:r>
        <w:t>prohibiltif</w:t>
      </w:r>
      <w:proofErr w:type="spellEnd"/>
      <w:r>
        <w:t xml:space="preserve"> (même pour accéder à l’Afnor). La régulation par le marché suivi par les discussions entre standards n’est donc pas d’un intérêt général auquel l’ARCEP devrait donner son aval.</w:t>
      </w:r>
    </w:p>
    <w:p w:rsidR="00AE0B84" w:rsidRDefault="00AE0B84" w:rsidP="00AE0B84">
      <w:pPr>
        <w:pStyle w:val="Textebrut"/>
      </w:pPr>
    </w:p>
    <w:p w:rsidR="00AE0B84" w:rsidRDefault="00AE0B84" w:rsidP="00AE0B84">
      <w:pPr>
        <w:pStyle w:val="Textebrut"/>
      </w:pPr>
    </w:p>
    <w:p w:rsidR="00AE0B84" w:rsidRDefault="00AE0B84" w:rsidP="00AE0B84">
      <w:pPr>
        <w:pStyle w:val="Textebrut"/>
      </w:pPr>
      <w:r>
        <w:t xml:space="preserve">Pour le LIFI, il faut rectifier le message Même si le LIFI n’est pas mature pour </w:t>
      </w:r>
      <w:proofErr w:type="gramStart"/>
      <w:r>
        <w:t>les usages particulier</w:t>
      </w:r>
      <w:proofErr w:type="gramEnd"/>
      <w:r>
        <w:t xml:space="preserve"> (faute de récepteurs sur équipements mobiles), les composants de la technologie </w:t>
      </w:r>
      <w:proofErr w:type="spellStart"/>
      <w:r>
        <w:t>Li-Fi</w:t>
      </w:r>
      <w:proofErr w:type="spellEnd"/>
      <w:r>
        <w:t xml:space="preserve"> sont </w:t>
      </w:r>
      <w:r>
        <w:lastRenderedPageBreak/>
        <w:t xml:space="preserve">aujourd’hui matures. Ainsi premiers pilotes ont déjà été lancés pour le tertiaire dans des structures à usage collectif ( hypermarché Carrefour à Lille, </w:t>
      </w:r>
      <w:proofErr w:type="spellStart"/>
      <w:r>
        <w:t>Sogeprom</w:t>
      </w:r>
      <w:proofErr w:type="spellEnd"/>
      <w:r>
        <w:t xml:space="preserve">, une filiale de la Société Générale, prototype de luminaire </w:t>
      </w:r>
      <w:proofErr w:type="spellStart"/>
      <w:r>
        <w:t>Li-Fi</w:t>
      </w:r>
      <w:proofErr w:type="spellEnd"/>
      <w:r>
        <w:t xml:space="preserve"> dans les bureaux de </w:t>
      </w:r>
      <w:proofErr w:type="spellStart"/>
      <w:r>
        <w:t>Sogeprom</w:t>
      </w:r>
      <w:proofErr w:type="spellEnd"/>
      <w:r>
        <w:t>, à la Défense, éco-quartier Camille Claudel à Palaiseau) D’autre part l’</w:t>
      </w:r>
      <w:proofErr w:type="spellStart"/>
      <w:r>
        <w:t>Arcep</w:t>
      </w:r>
      <w:proofErr w:type="spellEnd"/>
      <w:r>
        <w:t xml:space="preserve"> aurait pu mentionner son intérêt pour le secteur public en raison de ses avantages d’absence d’impact sur la santé et d’interférences en particulier dans les installations hospitalières. Ainsi L’hôpital de Perpignan est le premier établissement de santé à en avoir testé le </w:t>
      </w:r>
      <w:proofErr w:type="spellStart"/>
      <w:r>
        <w:t>Li-Fi</w:t>
      </w:r>
      <w:proofErr w:type="spellEnd"/>
      <w:r>
        <w:t xml:space="preserve"> dans un service </w:t>
      </w:r>
      <w:proofErr w:type="gramStart"/>
      <w:r>
        <w:t>d’Urgences .</w:t>
      </w:r>
      <w:proofErr w:type="gramEnd"/>
      <w:r>
        <w:t xml:space="preserve"> Le réseau permet l’accès aux dossiers des patients.</w:t>
      </w:r>
    </w:p>
    <w:p w:rsidR="00AE0B84" w:rsidRDefault="00AE0B84" w:rsidP="00AE0B84">
      <w:pPr>
        <w:pStyle w:val="Textebrut"/>
      </w:pPr>
    </w:p>
    <w:p w:rsidR="00AE0B84" w:rsidRDefault="00AE0B84" w:rsidP="00AE0B84">
      <w:pPr>
        <w:pStyle w:val="Textebrut"/>
      </w:pPr>
      <w:proofErr w:type="gramStart"/>
      <w:r>
        <w:t>( Source</w:t>
      </w:r>
      <w:proofErr w:type="gramEnd"/>
      <w:r>
        <w:t xml:space="preserve"> : </w:t>
      </w:r>
      <w:hyperlink r:id="rId8" w:history="1">
        <w:r>
          <w:rPr>
            <w:rStyle w:val="Lienhypertexte"/>
          </w:rPr>
          <w:t>http://lesenr.fr/actualites/actus/856-li-fi-de-la-lumiere-en-remplac</w:t>
        </w:r>
      </w:hyperlink>
      <w:r>
        <w:t>)</w:t>
      </w:r>
    </w:p>
    <w:p w:rsidR="00AE0B84" w:rsidRDefault="00AE0B84" w:rsidP="00AE0B84">
      <w:pPr>
        <w:pStyle w:val="Textebrut"/>
      </w:pPr>
    </w:p>
    <w:p w:rsidR="00AE0B84" w:rsidRDefault="00AE0B84" w:rsidP="00AE0B84">
      <w:pPr>
        <w:pStyle w:val="Textebrut"/>
      </w:pPr>
      <w:r>
        <w:t xml:space="preserve">Dans ce chapitre sur les infrastructures de connectivité, un enjeu fondamental me semble manquant : le besoin d’infrastructure de connectivité compatible avec le chiffrement des données, condition sine </w:t>
      </w:r>
      <w:proofErr w:type="spellStart"/>
      <w:r>
        <w:t>quanone</w:t>
      </w:r>
      <w:proofErr w:type="spellEnd"/>
      <w:r>
        <w:t xml:space="preserve"> du </w:t>
      </w:r>
      <w:proofErr w:type="spellStart"/>
      <w:r>
        <w:t>PbD</w:t>
      </w:r>
      <w:proofErr w:type="spellEnd"/>
      <w:r>
        <w:t xml:space="preserve"> et </w:t>
      </w:r>
      <w:proofErr w:type="spellStart"/>
      <w:r>
        <w:t>SbD</w:t>
      </w:r>
      <w:proofErr w:type="spellEnd"/>
      <w:r>
        <w:t xml:space="preserve"> (</w:t>
      </w:r>
      <w:proofErr w:type="spellStart"/>
      <w:r>
        <w:t>Privacy</w:t>
      </w:r>
      <w:proofErr w:type="spellEnd"/>
      <w:r>
        <w:t xml:space="preserve"> and Security by Design). Ce qui nécessite outre des infrastructure de connectivité compatibles en </w:t>
      </w:r>
      <w:proofErr w:type="gramStart"/>
      <w:r>
        <w:t>terme</w:t>
      </w:r>
      <w:proofErr w:type="gramEnd"/>
      <w:r>
        <w:t xml:space="preserve"> de protocoles au chiffrement mais aussi la nécessité de Box utilisateur couplées avec HSM personnel. Ces box personnelles devront être compatibles </w:t>
      </w:r>
      <w:proofErr w:type="spellStart"/>
      <w:r>
        <w:t>multiprotocoles</w:t>
      </w:r>
      <w:proofErr w:type="spellEnd"/>
      <w:r>
        <w:t xml:space="preserve"> de transport (filaire, PAN LAN, MAN WAN) mais aussi multifonction (filtrage en local des données avant transmission sur les réseaux moyennes ou longues distances, stockage des données chiffrées ….). D’autre part, cette infrastructure de connectivité nécessitera l’avènement de la SIM universelle pour l’instant bloquée par les MNO aussi bien pour les box que les </w:t>
      </w:r>
      <w:proofErr w:type="spellStart"/>
      <w:r>
        <w:t>devices</w:t>
      </w:r>
      <w:proofErr w:type="spellEnd"/>
      <w:r>
        <w:t xml:space="preserve"> mobiles personnels. Cette SIM universelle permettant le </w:t>
      </w:r>
      <w:proofErr w:type="spellStart"/>
      <w:r>
        <w:t>multiroaming</w:t>
      </w:r>
      <w:proofErr w:type="spellEnd"/>
      <w:r>
        <w:t xml:space="preserve"> et </w:t>
      </w:r>
      <w:proofErr w:type="spellStart"/>
      <w:r>
        <w:t>multisourcing</w:t>
      </w:r>
      <w:proofErr w:type="spellEnd"/>
      <w:r>
        <w:t xml:space="preserve"> doit satisfaire à la garantie du le contrôle exclusif de son propriétaire et donc </w:t>
      </w:r>
      <w:proofErr w:type="spellStart"/>
      <w:r>
        <w:t>removable</w:t>
      </w:r>
      <w:proofErr w:type="spellEnd"/>
      <w:r>
        <w:t xml:space="preserve"> (solution Apple </w:t>
      </w:r>
      <w:proofErr w:type="spellStart"/>
      <w:r>
        <w:t>embeddée</w:t>
      </w:r>
      <w:proofErr w:type="spellEnd"/>
      <w:r>
        <w:t xml:space="preserve"> non conforme) pour permettre l’accès à des services de confiance numérique de niveau 2 (niveau avancé signature électronique).</w:t>
      </w:r>
    </w:p>
    <w:p w:rsidR="00AE0B84" w:rsidRDefault="00AE0B84" w:rsidP="00AE0B84">
      <w:pPr>
        <w:pStyle w:val="Textebrut"/>
      </w:pPr>
    </w:p>
    <w:p w:rsidR="00AE0B84" w:rsidRDefault="00AE0B84" w:rsidP="00AE0B84">
      <w:pPr>
        <w:pStyle w:val="Textebrut"/>
      </w:pPr>
      <w:r>
        <w:t>Je réfute l’idée que l’IOT se base uniquement sur deux modèles économiques autour de la donnée : la vente des données ou la monétisation des données avec la vente d’un service.</w:t>
      </w:r>
    </w:p>
    <w:p w:rsidR="00AE0B84" w:rsidRDefault="00AE0B84" w:rsidP="00AE0B84">
      <w:pPr>
        <w:pStyle w:val="Textebrut"/>
      </w:pPr>
    </w:p>
    <w:p w:rsidR="00AE0B84" w:rsidRDefault="00AE0B84" w:rsidP="00AE0B84">
      <w:pPr>
        <w:pStyle w:val="Textebrut"/>
      </w:pPr>
      <w:r>
        <w:t>D’autres modèles économiques existent :</w:t>
      </w:r>
    </w:p>
    <w:p w:rsidR="00AE0B84" w:rsidRDefault="00AE0B84" w:rsidP="00AE0B84">
      <w:pPr>
        <w:pStyle w:val="Textebrut"/>
      </w:pPr>
      <w:r>
        <w:t xml:space="preserve">– sur la sécurisation des données et de leur traitement pour assurer la sécurité et la confidentialité avec l’offre de produits ou solutions </w:t>
      </w:r>
      <w:proofErr w:type="spellStart"/>
      <w:r>
        <w:t>Privacy</w:t>
      </w:r>
      <w:proofErr w:type="spellEnd"/>
      <w:r>
        <w:t xml:space="preserve"> by Design (</w:t>
      </w:r>
      <w:proofErr w:type="spellStart"/>
      <w:r>
        <w:t>PbD</w:t>
      </w:r>
      <w:proofErr w:type="spellEnd"/>
      <w:r>
        <w:t>) et Security by Design (</w:t>
      </w:r>
      <w:proofErr w:type="spellStart"/>
      <w:r>
        <w:t>Sbd</w:t>
      </w:r>
      <w:proofErr w:type="spellEnd"/>
      <w:r>
        <w:t xml:space="preserve">) pour conformité au règlement GDPR et à la directive NIS qui rentreront en application en mai 2018 – pour accroître la productivité industrielle via les M2M (facteur important de notre PIB) – pour des objectifs publics de développement durable et d’économies d’énergie (via smart </w:t>
      </w:r>
      <w:proofErr w:type="spellStart"/>
      <w:r>
        <w:t>cities</w:t>
      </w:r>
      <w:proofErr w:type="spellEnd"/>
      <w:r>
        <w:t xml:space="preserve">) et pour l’amélioration de la santé publique D’autre part, outre les services ci-dessus mentionnées, l’industrie française peut créer de la valeur pour la conception hardware et de la production de composants (puces), sous-composants (capteurs) et </w:t>
      </w:r>
      <w:proofErr w:type="spellStart"/>
      <w:r>
        <w:t>devices</w:t>
      </w:r>
      <w:proofErr w:type="spellEnd"/>
      <w:r>
        <w:t xml:space="preserve"> pour le marché de l’IOT satisfaisant ce besoin </w:t>
      </w:r>
      <w:proofErr w:type="spellStart"/>
      <w:r>
        <w:t>PbD</w:t>
      </w:r>
      <w:proofErr w:type="spellEnd"/>
      <w:r>
        <w:t xml:space="preserve"> et </w:t>
      </w:r>
      <w:proofErr w:type="spellStart"/>
      <w:r>
        <w:t>SbD</w:t>
      </w:r>
      <w:proofErr w:type="spellEnd"/>
    </w:p>
    <w:p w:rsidR="00AE0B84" w:rsidRDefault="00AE0B84" w:rsidP="00AE0B84">
      <w:pPr>
        <w:pStyle w:val="Textebrut"/>
      </w:pPr>
    </w:p>
    <w:p w:rsidR="00AE0B84" w:rsidRDefault="00AE0B84" w:rsidP="00AE0B84">
      <w:pPr>
        <w:pStyle w:val="Textebrut"/>
      </w:pPr>
      <w:r>
        <w:t xml:space="preserve">Stéphane </w:t>
      </w:r>
      <w:proofErr w:type="spellStart"/>
      <w:r>
        <w:t>Larière</w:t>
      </w:r>
      <w:proofErr w:type="spellEnd"/>
      <w:r>
        <w:t>, la loi des parties</w:t>
      </w:r>
    </w:p>
    <w:p w:rsidR="00AE0B84" w:rsidRDefault="00AE0B84" w:rsidP="00AE0B84">
      <w:pPr>
        <w:pStyle w:val="Textebrut"/>
      </w:pPr>
      <w:r>
        <w:t xml:space="preserve">Concernant l’écosystème et les </w:t>
      </w:r>
      <w:proofErr w:type="spellStart"/>
      <w:r>
        <w:t>risquesde</w:t>
      </w:r>
      <w:proofErr w:type="spellEnd"/>
      <w:r>
        <w:t xml:space="preserve"> l’</w:t>
      </w:r>
      <w:proofErr w:type="spellStart"/>
      <w:r>
        <w:t>IoT</w:t>
      </w:r>
      <w:proofErr w:type="spellEnd"/>
      <w:r>
        <w:t xml:space="preserve"> notamment sur la valorisation des data, je vous invite à consulter ce </w:t>
      </w:r>
      <w:proofErr w:type="spellStart"/>
      <w:r>
        <w:t>post</w:t>
      </w:r>
      <w:proofErr w:type="spellEnd"/>
      <w:r>
        <w:t>:</w:t>
      </w:r>
    </w:p>
    <w:p w:rsidR="00AE0B84" w:rsidRDefault="00AE0B84" w:rsidP="00AE0B84">
      <w:pPr>
        <w:pStyle w:val="Textebrut"/>
      </w:pPr>
      <w:hyperlink r:id="rId9" w:history="1">
        <w:r>
          <w:rPr>
            <w:rStyle w:val="Lienhypertexte"/>
          </w:rPr>
          <w:t>http://laloidesparties.fr/iot-objets-connectes-droit</w:t>
        </w:r>
      </w:hyperlink>
    </w:p>
    <w:p w:rsidR="00AE0B84" w:rsidRDefault="00AE0B84" w:rsidP="00AE0B84">
      <w:pPr>
        <w:pStyle w:val="Textebrut"/>
      </w:pPr>
    </w:p>
    <w:p w:rsidR="00AE0B84" w:rsidRDefault="00AE0B84" w:rsidP="00AE0B84">
      <w:pPr>
        <w:pStyle w:val="Textebrut"/>
      </w:pPr>
      <w:r>
        <w:t>Document N°2</w:t>
      </w:r>
    </w:p>
    <w:p w:rsidR="00AE0B84" w:rsidRDefault="00AE0B84" w:rsidP="00AE0B84">
      <w:pPr>
        <w:pStyle w:val="Textebrut"/>
      </w:pPr>
    </w:p>
    <w:p w:rsidR="00AE0B84" w:rsidRDefault="00AE0B84" w:rsidP="00AE0B84">
      <w:pPr>
        <w:pStyle w:val="Textebrut"/>
      </w:pPr>
      <w:r>
        <w:t>q1</w:t>
      </w:r>
    </w:p>
    <w:p w:rsidR="00AE0B84" w:rsidRDefault="00AE0B84" w:rsidP="00AE0B84">
      <w:pPr>
        <w:pStyle w:val="Textebrut"/>
      </w:pPr>
    </w:p>
    <w:p w:rsidR="00AE0B84" w:rsidRDefault="00AE0B84" w:rsidP="00AE0B84">
      <w:pPr>
        <w:pStyle w:val="Textebrut"/>
      </w:pPr>
      <w:r>
        <w:t xml:space="preserve">Je réponds à cette Q1 au regard de la </w:t>
      </w:r>
      <w:proofErr w:type="spellStart"/>
      <w:r>
        <w:t>reco</w:t>
      </w:r>
      <w:proofErr w:type="spellEnd"/>
      <w:r>
        <w:t xml:space="preserve"> N°1 : Le cadre expérimental ne doit pas être ouvert qu’au </w:t>
      </w:r>
      <w:proofErr w:type="spellStart"/>
      <w:r>
        <w:t>start</w:t>
      </w:r>
      <w:proofErr w:type="spellEnd"/>
      <w:r>
        <w:t xml:space="preserve"> up mais aussi avec </w:t>
      </w:r>
      <w:proofErr w:type="gramStart"/>
      <w:r>
        <w:t>les laboratoire</w:t>
      </w:r>
      <w:proofErr w:type="gramEnd"/>
      <w:r>
        <w:t xml:space="preserve"> de recherche publics en y associant les IRT qui dans le cadre de PIA travaillent sur des thématiques connexes (ex IRT System X : </w:t>
      </w:r>
      <w:proofErr w:type="spellStart"/>
      <w:r>
        <w:t>smartcities</w:t>
      </w:r>
      <w:proofErr w:type="spellEnd"/>
      <w:r>
        <w:t>, véhicules connectés ….).</w:t>
      </w:r>
    </w:p>
    <w:p w:rsidR="00AE0B84" w:rsidRDefault="00AE0B84" w:rsidP="00AE0B84">
      <w:pPr>
        <w:pStyle w:val="Textebrut"/>
      </w:pPr>
      <w:r>
        <w:t xml:space="preserve">Le cadre expérimental devrait être encouragé par l’état et l’ARCEP vers des directions qui n’ont pas été formulées dans la partie 1 cartographie IOT. La valeur ne repose pas uniquement sur la vente des </w:t>
      </w:r>
      <w:r>
        <w:lastRenderedPageBreak/>
        <w:t xml:space="preserve">données et le service de traitement des données mais aussi – sur la sécurisation pour assurer la sécurité et la confidentialité (conformité au règlement GDPR et à la directive NIS en mai 2018) – pour accroître la productivité industrielle (facteur important de notre PIB) – pour des objectifs publics de développement durable et d’économies d’énergie (via smart </w:t>
      </w:r>
      <w:proofErr w:type="spellStart"/>
      <w:r>
        <w:t>cities</w:t>
      </w:r>
      <w:proofErr w:type="spellEnd"/>
      <w:r>
        <w:t>) et pour l’amélioration de la santé publique</w:t>
      </w:r>
    </w:p>
    <w:p w:rsidR="00AE0B84" w:rsidRDefault="00AE0B84" w:rsidP="00AE0B84">
      <w:pPr>
        <w:pStyle w:val="Textebrut"/>
      </w:pPr>
    </w:p>
    <w:p w:rsidR="00AE0B84" w:rsidRDefault="00AE0B84" w:rsidP="00AE0B84">
      <w:pPr>
        <w:pStyle w:val="Textebrut"/>
      </w:pPr>
      <w:r>
        <w:t>q2</w:t>
      </w:r>
    </w:p>
    <w:p w:rsidR="00AE0B84" w:rsidRDefault="00AE0B84" w:rsidP="00AE0B84">
      <w:pPr>
        <w:pStyle w:val="Textebrut"/>
      </w:pPr>
    </w:p>
    <w:p w:rsidR="00AE0B84" w:rsidRDefault="00AE0B84" w:rsidP="00AE0B84">
      <w:pPr>
        <w:pStyle w:val="Textebrut"/>
      </w:pPr>
      <w:r>
        <w:t>La normalisation doit être un enjeu majeur de tout développement de produit/solution innovant. Si l’ARCEP est en charge de du développement de l’IOT par l’état alors oui l’ARCEP doit suivre les travaux de normalisation mais pas uniquement sur les protocoles de transport.</w:t>
      </w:r>
    </w:p>
    <w:p w:rsidR="00AE0B84" w:rsidRDefault="00AE0B84" w:rsidP="00AE0B84">
      <w:pPr>
        <w:pStyle w:val="Textebrut"/>
      </w:pPr>
    </w:p>
    <w:p w:rsidR="00AE0B84" w:rsidRDefault="00AE0B84" w:rsidP="00AE0B84">
      <w:pPr>
        <w:pStyle w:val="Textebrut"/>
      </w:pPr>
      <w:r>
        <w:t xml:space="preserve">Le suivi du futur de l’adressage des IOT par </w:t>
      </w:r>
      <w:proofErr w:type="spellStart"/>
      <w:r>
        <w:t>blockchain</w:t>
      </w:r>
      <w:proofErr w:type="spellEnd"/>
      <w:r>
        <w:t xml:space="preserve"> doit être aussi regardé. Lors de la dernière conférence à l’ONU ID2020, le sujet pour un identifiant par </w:t>
      </w:r>
      <w:proofErr w:type="spellStart"/>
      <w:r>
        <w:t>blockchain</w:t>
      </w:r>
      <w:proofErr w:type="spellEnd"/>
      <w:r>
        <w:t xml:space="preserve"> DID (</w:t>
      </w:r>
      <w:hyperlink r:id="rId10" w:history="1">
        <w:r>
          <w:rPr>
            <w:rStyle w:val="Lienhypertexte"/>
          </w:rPr>
          <w:t>https://github.com/WebOfTrustInfo/ID2020DesignWorkshop/blob/master/draft-documents/requirements-for-dids.md</w:t>
        </w:r>
      </w:hyperlink>
      <w:r>
        <w:t xml:space="preserve">) a déjà été traité et au niveau CEN un travail normatif ouvert avec l’association </w:t>
      </w:r>
      <w:proofErr w:type="spellStart"/>
      <w:r>
        <w:t>Advertam</w:t>
      </w:r>
      <w:proofErr w:type="spellEnd"/>
      <w:r>
        <w:t xml:space="preserve"> (</w:t>
      </w:r>
      <w:hyperlink r:id="rId11" w:history="1">
        <w:r>
          <w:rPr>
            <w:rStyle w:val="Lienhypertexte"/>
          </w:rPr>
          <w:t>http://aeternam.eu/</w:t>
        </w:r>
      </w:hyperlink>
      <w:r>
        <w:t>) pour un identifiant ISAEN (</w:t>
      </w:r>
      <w:hyperlink r:id="rId12" w:history="1">
        <w:r>
          <w:rPr>
            <w:rStyle w:val="Lienhypertexte"/>
          </w:rPr>
          <w:t>https://www.cen.eu/work/areas/ICT/Pages/WS-IS%C3%86N.aspx</w:t>
        </w:r>
      </w:hyperlink>
      <w:r>
        <w:t>) est lancé pour conformité avec le règlement GDPR.</w:t>
      </w:r>
    </w:p>
    <w:p w:rsidR="00AE0B84" w:rsidRDefault="00AE0B84" w:rsidP="00AE0B84">
      <w:pPr>
        <w:pStyle w:val="Textebrut"/>
      </w:pPr>
    </w:p>
    <w:p w:rsidR="00AE0B84" w:rsidRDefault="00AE0B84" w:rsidP="00AE0B84">
      <w:pPr>
        <w:pStyle w:val="Textebrut"/>
      </w:pPr>
      <w:r>
        <w:t>q4</w:t>
      </w:r>
    </w:p>
    <w:p w:rsidR="00AE0B84" w:rsidRDefault="00AE0B84" w:rsidP="00AE0B84">
      <w:pPr>
        <w:pStyle w:val="Textebrut"/>
      </w:pPr>
      <w:r>
        <w:t xml:space="preserve">Sur les protocoles de transport pour IOT, je n’ai pas noté ni </w:t>
      </w:r>
      <w:proofErr w:type="spellStart"/>
      <w:r>
        <w:t>des</w:t>
      </w:r>
      <w:proofErr w:type="spellEnd"/>
      <w:r>
        <w:t xml:space="preserve"> les orientations ni dans la partie1 de démarche de l’ARCEP vis à vis du LIFI, qui est un protocole à suivre avec attention pour ses avantages d’absence d’impact sur la santé et d’interférences en particulier pour des applications dans le secteur public et en particulier dans les installations hospitalières.</w:t>
      </w:r>
    </w:p>
    <w:p w:rsidR="00AE0B84" w:rsidRDefault="00AE0B84" w:rsidP="00AE0B84">
      <w:pPr>
        <w:pStyle w:val="Textebrut"/>
      </w:pPr>
    </w:p>
    <w:p w:rsidR="00AE0B84" w:rsidRDefault="00AE0B84" w:rsidP="00AE0B84">
      <w:pPr>
        <w:pStyle w:val="Textebrut"/>
      </w:pPr>
      <w:r>
        <w:t xml:space="preserve">D’autre part, de façon plus générale je déplore l’absence de ligne directrice claire de l’ARCEP dans ses </w:t>
      </w:r>
      <w:proofErr w:type="gramStart"/>
      <w:r>
        <w:t>orientations .</w:t>
      </w:r>
      <w:proofErr w:type="gramEnd"/>
      <w:r>
        <w:t xml:space="preserve"> La démarche proposée semble uniquement consensuelle pour laisser le marché ouvert en oubliant le prérequis d’</w:t>
      </w:r>
      <w:proofErr w:type="spellStart"/>
      <w:r>
        <w:t>intéropérabilité</w:t>
      </w:r>
      <w:proofErr w:type="spellEnd"/>
      <w:r>
        <w:t xml:space="preserve"> requis mais aussi deux points majeurs à prendre en compte : des solutions </w:t>
      </w:r>
      <w:proofErr w:type="spellStart"/>
      <w:r>
        <w:t>Privacy</w:t>
      </w:r>
      <w:proofErr w:type="spellEnd"/>
      <w:r>
        <w:t xml:space="preserve"> by Design (</w:t>
      </w:r>
      <w:proofErr w:type="spellStart"/>
      <w:r>
        <w:t>PbD</w:t>
      </w:r>
      <w:proofErr w:type="spellEnd"/>
      <w:r>
        <w:t>) et Security by Design (</w:t>
      </w:r>
      <w:proofErr w:type="spellStart"/>
      <w:r>
        <w:t>SbD</w:t>
      </w:r>
      <w:proofErr w:type="spellEnd"/>
      <w:r>
        <w:t xml:space="preserve">) pour la compatibilité en mai 2018 au règlement GDPR (impact 4% du CA global si non </w:t>
      </w:r>
      <w:proofErr w:type="spellStart"/>
      <w:r>
        <w:t>compliant</w:t>
      </w:r>
      <w:proofErr w:type="spellEnd"/>
      <w:r>
        <w:t xml:space="preserve">) et à la directive NIS (pour OIV suivi ANSSI et pour les autres aussi). Or le </w:t>
      </w:r>
      <w:proofErr w:type="spellStart"/>
      <w:r>
        <w:t>savoir faire</w:t>
      </w:r>
      <w:proofErr w:type="spellEnd"/>
      <w:r>
        <w:t xml:space="preserve"> de la France dans ce domaine doit être source d’innovation et de valeur :</w:t>
      </w:r>
    </w:p>
    <w:p w:rsidR="00AE0B84" w:rsidRDefault="00AE0B84" w:rsidP="00AE0B84">
      <w:pPr>
        <w:pStyle w:val="Textebrut"/>
      </w:pPr>
      <w:r>
        <w:t xml:space="preserve">– aussi bien du point de vue de la conception hardware et de la production de composants (puces), sous-composants (capteurs) et </w:t>
      </w:r>
      <w:proofErr w:type="spellStart"/>
      <w:r>
        <w:t>devices</w:t>
      </w:r>
      <w:proofErr w:type="spellEnd"/>
      <w:r>
        <w:t xml:space="preserve"> pour le marché de l’IOT satisfaisant ce besoin </w:t>
      </w:r>
      <w:proofErr w:type="spellStart"/>
      <w:r>
        <w:t>PbD</w:t>
      </w:r>
      <w:proofErr w:type="spellEnd"/>
      <w:r>
        <w:t xml:space="preserve"> et </w:t>
      </w:r>
      <w:proofErr w:type="spellStart"/>
      <w:r>
        <w:t>SbD</w:t>
      </w:r>
      <w:proofErr w:type="spellEnd"/>
      <w:r>
        <w:t xml:space="preserve"> – que du point de vue software avec le besoin de compétences d’ingénieur pour développer des plateformes et des API,.</w:t>
      </w:r>
    </w:p>
    <w:p w:rsidR="00AE0B84" w:rsidRDefault="00AE0B84" w:rsidP="00AE0B84">
      <w:pPr>
        <w:pStyle w:val="Textebrut"/>
      </w:pPr>
    </w:p>
    <w:p w:rsidR="00AE0B84" w:rsidRDefault="00AE0B84" w:rsidP="00AE0B84">
      <w:pPr>
        <w:pStyle w:val="Textebrut"/>
      </w:pPr>
      <w:r>
        <w:t xml:space="preserve">Le rapport de </w:t>
      </w:r>
      <w:proofErr w:type="spellStart"/>
      <w:r>
        <w:t>Gemalto</w:t>
      </w:r>
      <w:proofErr w:type="spellEnd"/>
      <w:r>
        <w:t xml:space="preserve"> de 2016 sur l’IOT (</w:t>
      </w:r>
      <w:hyperlink r:id="rId13" w:history="1">
        <w:r>
          <w:rPr>
            <w:rStyle w:val="Lienhypertexte"/>
          </w:rPr>
          <w:t>http://www.gemalto.com/iot/documents/iot-survey</w:t>
        </w:r>
      </w:hyperlink>
      <w:r>
        <w:t xml:space="preserve">) est </w:t>
      </w:r>
      <w:proofErr w:type="gramStart"/>
      <w:r>
        <w:t>un</w:t>
      </w:r>
      <w:proofErr w:type="gramEnd"/>
      <w:r>
        <w:t xml:space="preserve"> bonne lecture pour mettre en évidence une partie de ces besoins d’Interopérabilité, de </w:t>
      </w:r>
      <w:proofErr w:type="spellStart"/>
      <w:r>
        <w:t>privacy</w:t>
      </w:r>
      <w:proofErr w:type="spellEnd"/>
      <w:r>
        <w:t xml:space="preserve"> by design et </w:t>
      </w:r>
      <w:proofErr w:type="spellStart"/>
      <w:r>
        <w:t>security</w:t>
      </w:r>
      <w:proofErr w:type="spellEnd"/>
      <w:r>
        <w:t xml:space="preserve"> by design.</w:t>
      </w:r>
    </w:p>
    <w:p w:rsidR="00AE0B84" w:rsidRDefault="00AE0B84" w:rsidP="00AE0B84">
      <w:pPr>
        <w:pStyle w:val="Textebrut"/>
      </w:pPr>
    </w:p>
    <w:p w:rsidR="00AE0B84" w:rsidRDefault="00AE0B84" w:rsidP="00AE0B84">
      <w:pPr>
        <w:pStyle w:val="Textebrut"/>
      </w:pPr>
    </w:p>
    <w:p w:rsidR="00AE0B84" w:rsidRDefault="00AE0B84" w:rsidP="00AE0B84">
      <w:pPr>
        <w:pStyle w:val="Textebrut"/>
      </w:pPr>
      <w:r>
        <w:t>q6</w:t>
      </w:r>
    </w:p>
    <w:p w:rsidR="00AE0B84" w:rsidRDefault="00AE0B84" w:rsidP="00AE0B84">
      <w:pPr>
        <w:pStyle w:val="Textebrut"/>
      </w:pPr>
    </w:p>
    <w:p w:rsidR="00AE0B84" w:rsidRDefault="00AE0B84" w:rsidP="00AE0B84">
      <w:pPr>
        <w:pStyle w:val="Textebrut"/>
      </w:pPr>
      <w:r>
        <w:t xml:space="preserve">Comme déjà évoqué pour la Q2, le suivi du futur de l’adressage des IOT par </w:t>
      </w:r>
      <w:proofErr w:type="spellStart"/>
      <w:r>
        <w:t>blockchain</w:t>
      </w:r>
      <w:proofErr w:type="spellEnd"/>
      <w:r>
        <w:t xml:space="preserve"> doit être aussi regardé pour répondre à ce besoin. Lors de la dernière conférence à l’ONU ID2020, le sujet pour un identifiant par </w:t>
      </w:r>
      <w:proofErr w:type="spellStart"/>
      <w:r>
        <w:t>blockchain</w:t>
      </w:r>
      <w:proofErr w:type="spellEnd"/>
      <w:r>
        <w:t xml:space="preserve"> DID (</w:t>
      </w:r>
      <w:hyperlink r:id="rId14" w:history="1">
        <w:r>
          <w:rPr>
            <w:rStyle w:val="Lienhypertexte"/>
          </w:rPr>
          <w:t>https://github.com/WebOfTrustInfo/ID2020DesignWorkshop/blob/master/draft-documents/requirements-for-dids.md</w:t>
        </w:r>
      </w:hyperlink>
      <w:r>
        <w:t xml:space="preserve">) a déjà été traité et au niveau CEN un travail normatif ouvert avec l’association </w:t>
      </w:r>
      <w:proofErr w:type="spellStart"/>
      <w:r>
        <w:t>Advertam</w:t>
      </w:r>
      <w:proofErr w:type="spellEnd"/>
      <w:r>
        <w:t xml:space="preserve"> (</w:t>
      </w:r>
      <w:hyperlink r:id="rId15" w:history="1">
        <w:r>
          <w:rPr>
            <w:rStyle w:val="Lienhypertexte"/>
          </w:rPr>
          <w:t>http://aeternam.eu/</w:t>
        </w:r>
      </w:hyperlink>
      <w:r>
        <w:t xml:space="preserve">) pour un identifiant ISAEN </w:t>
      </w:r>
      <w:r>
        <w:lastRenderedPageBreak/>
        <w:t>(</w:t>
      </w:r>
      <w:hyperlink r:id="rId16" w:history="1">
        <w:r>
          <w:rPr>
            <w:rStyle w:val="Lienhypertexte"/>
          </w:rPr>
          <w:t>https://www.cen.eu/work/areas/ICT/Pages/WS-IS%C3%86N.aspx</w:t>
        </w:r>
      </w:hyperlink>
      <w:r>
        <w:t>) est lancé pour conformité avec le règlement GDPR.</w:t>
      </w:r>
    </w:p>
    <w:p w:rsidR="00AE0B84" w:rsidRDefault="00AE0B84" w:rsidP="00AE0B84">
      <w:pPr>
        <w:pStyle w:val="Textebrut"/>
      </w:pPr>
    </w:p>
    <w:p w:rsidR="00AE0B84" w:rsidRDefault="00AE0B84" w:rsidP="00AE0B84">
      <w:pPr>
        <w:pStyle w:val="Textebrut"/>
      </w:pPr>
      <w:r>
        <w:t>q9</w:t>
      </w:r>
    </w:p>
    <w:p w:rsidR="00AE0B84" w:rsidRDefault="00AE0B84" w:rsidP="00AE0B84">
      <w:pPr>
        <w:pStyle w:val="Textebrut"/>
      </w:pPr>
    </w:p>
    <w:p w:rsidR="00AE0B84" w:rsidRDefault="00AE0B84" w:rsidP="00AE0B84">
      <w:pPr>
        <w:pStyle w:val="Textebrut"/>
      </w:pPr>
      <w:r>
        <w:t xml:space="preserve">Le </w:t>
      </w:r>
      <w:proofErr w:type="spellStart"/>
      <w:r>
        <w:t>remote</w:t>
      </w:r>
      <w:proofErr w:type="spellEnd"/>
      <w:r>
        <w:t xml:space="preserve"> SIM </w:t>
      </w:r>
      <w:proofErr w:type="spellStart"/>
      <w:r>
        <w:t>provisionning</w:t>
      </w:r>
      <w:proofErr w:type="spellEnd"/>
      <w:r>
        <w:t xml:space="preserve"> </w:t>
      </w:r>
      <w:proofErr w:type="spellStart"/>
      <w:r>
        <w:t>Other</w:t>
      </w:r>
      <w:proofErr w:type="spellEnd"/>
      <w:r>
        <w:t xml:space="preserve"> the Air n’est qu’une partie de la solution.</w:t>
      </w:r>
    </w:p>
    <w:p w:rsidR="00AE0B84" w:rsidRDefault="00AE0B84" w:rsidP="00AE0B84">
      <w:pPr>
        <w:pStyle w:val="Textebrut"/>
      </w:pPr>
    </w:p>
    <w:p w:rsidR="00AE0B84" w:rsidRDefault="00AE0B84" w:rsidP="00AE0B84">
      <w:pPr>
        <w:pStyle w:val="Textebrut"/>
      </w:pPr>
      <w:r>
        <w:t xml:space="preserve">Le vrai besoin est une SIM universelle hard qui soit propriété des utilisateurs et qui permette d’assurer le </w:t>
      </w:r>
      <w:proofErr w:type="spellStart"/>
      <w:r>
        <w:t>multiroaming</w:t>
      </w:r>
      <w:proofErr w:type="spellEnd"/>
      <w:r>
        <w:t xml:space="preserve"> et le </w:t>
      </w:r>
      <w:proofErr w:type="spellStart"/>
      <w:r>
        <w:t>multisourcing</w:t>
      </w:r>
      <w:proofErr w:type="spellEnd"/>
      <w:r>
        <w:t>.</w:t>
      </w:r>
    </w:p>
    <w:p w:rsidR="00AE0B84" w:rsidRDefault="00AE0B84" w:rsidP="00AE0B84">
      <w:pPr>
        <w:pStyle w:val="Textebrut"/>
      </w:pPr>
    </w:p>
    <w:p w:rsidR="00AE0B84" w:rsidRDefault="00AE0B84" w:rsidP="00AE0B84">
      <w:pPr>
        <w:pStyle w:val="Textebrut"/>
      </w:pPr>
      <w:r>
        <w:t>L’opposition des MNO (Mobile Network opérateur) est pour la conservation de privilèges du secteur.</w:t>
      </w:r>
    </w:p>
    <w:p w:rsidR="00AE0B84" w:rsidRDefault="00AE0B84" w:rsidP="00AE0B84">
      <w:pPr>
        <w:pStyle w:val="Textebrut"/>
      </w:pPr>
    </w:p>
    <w:p w:rsidR="00AE0B84" w:rsidRDefault="00AE0B84" w:rsidP="00AE0B84">
      <w:pPr>
        <w:pStyle w:val="Textebrut"/>
      </w:pPr>
      <w:r>
        <w:t xml:space="preserve">L’état et donc l’ARCEP doit pousser vers ce besoin de SIM universelle. Cette SIM universelle doit également être sous le contrôle exclusif de son propriétaire et donc </w:t>
      </w:r>
      <w:proofErr w:type="spellStart"/>
      <w:r>
        <w:t>removable</w:t>
      </w:r>
      <w:proofErr w:type="spellEnd"/>
      <w:r>
        <w:t xml:space="preserve"> (solution Apple </w:t>
      </w:r>
      <w:proofErr w:type="spellStart"/>
      <w:r>
        <w:t>embeddée</w:t>
      </w:r>
      <w:proofErr w:type="spellEnd"/>
      <w:r>
        <w:t xml:space="preserve"> non conforme) pour permettre l’accès à des services de confiance numérique de niveau 2 (niveau avancé signature électronique).</w:t>
      </w:r>
    </w:p>
    <w:p w:rsidR="00AE0B84" w:rsidRDefault="00AE0B84" w:rsidP="00AE0B84">
      <w:pPr>
        <w:pStyle w:val="Textebrut"/>
      </w:pPr>
    </w:p>
    <w:p w:rsidR="00AE0B84" w:rsidRDefault="00AE0B84" w:rsidP="00AE0B84">
      <w:pPr>
        <w:pStyle w:val="Textebrut"/>
      </w:pPr>
      <w:r>
        <w:t xml:space="preserve">Cette SIM universelle doit être également la base d’une solution de sécurité pour les futures box internet couplée HSM qui vont devenir multifonctions (cloud personnel pour stockage donnée), </w:t>
      </w:r>
      <w:proofErr w:type="spellStart"/>
      <w:r>
        <w:t>multiprotocoles</w:t>
      </w:r>
      <w:proofErr w:type="spellEnd"/>
      <w:r>
        <w:t xml:space="preserve"> de transport (filaire, PAN LAN, MAN WAN) et cela afin de permettre le chiffrement en local de toutes données (préalablement filtrées) liées aux IOT avant transmission sur les réseaux moyennes ou longues distances).</w:t>
      </w:r>
    </w:p>
    <w:p w:rsidR="00AE0B84" w:rsidRDefault="00AE0B84" w:rsidP="00AE0B84">
      <w:pPr>
        <w:pStyle w:val="Textebrut"/>
      </w:pPr>
    </w:p>
    <w:p w:rsidR="00AE0B84" w:rsidRDefault="00AE0B84" w:rsidP="00AE0B84">
      <w:pPr>
        <w:pStyle w:val="Textebrut"/>
      </w:pPr>
      <w:r>
        <w:t>q12</w:t>
      </w:r>
    </w:p>
    <w:p w:rsidR="00AE0B84" w:rsidRDefault="00AE0B84" w:rsidP="00AE0B84">
      <w:pPr>
        <w:pStyle w:val="Textebrut"/>
      </w:pPr>
    </w:p>
    <w:p w:rsidR="00AE0B84" w:rsidRDefault="00AE0B84" w:rsidP="00AE0B84">
      <w:pPr>
        <w:pStyle w:val="Textebrut"/>
      </w:pPr>
      <w:r>
        <w:t xml:space="preserve"> Je reprends des éléments de ma réponse à la Q3 : D’autre part, de façon plus générale je déplore l’absence de ligne directrice claire de l’ARCEP pour ces 2 orientations 15 et </w:t>
      </w:r>
      <w:proofErr w:type="gramStart"/>
      <w:r>
        <w:t>16 .</w:t>
      </w:r>
      <w:proofErr w:type="gramEnd"/>
      <w:r>
        <w:t xml:space="preserve"> La démarche proposée semble uniquement passive : le travail DOIT se faire en commun avec l’ANSSI et la CNIL de façon </w:t>
      </w:r>
      <w:proofErr w:type="spellStart"/>
      <w:r>
        <w:t>pro-active</w:t>
      </w:r>
      <w:proofErr w:type="spellEnd"/>
      <w:r>
        <w:t xml:space="preserve"> et active afin d’orienter vers des solutions </w:t>
      </w:r>
      <w:proofErr w:type="spellStart"/>
      <w:r>
        <w:t>Privacy</w:t>
      </w:r>
      <w:proofErr w:type="spellEnd"/>
      <w:r>
        <w:t xml:space="preserve"> by Design (</w:t>
      </w:r>
      <w:proofErr w:type="spellStart"/>
      <w:r>
        <w:t>PbD</w:t>
      </w:r>
      <w:proofErr w:type="spellEnd"/>
      <w:r>
        <w:t>) et Security by Design (</w:t>
      </w:r>
      <w:proofErr w:type="spellStart"/>
      <w:r>
        <w:t>SbD</w:t>
      </w:r>
      <w:proofErr w:type="spellEnd"/>
      <w:r>
        <w:t xml:space="preserve">) pour la compatibilité en mai 2018 au règlement GDPR (impact 4% du CA global si non </w:t>
      </w:r>
      <w:proofErr w:type="spellStart"/>
      <w:r>
        <w:t>compliant</w:t>
      </w:r>
      <w:proofErr w:type="spellEnd"/>
      <w:r>
        <w:t xml:space="preserve">) et à la directive NIS (pour OIV suivi ANSSI et pour les autres aussi). En effet le </w:t>
      </w:r>
      <w:proofErr w:type="spellStart"/>
      <w:r>
        <w:t>savoir faire</w:t>
      </w:r>
      <w:proofErr w:type="spellEnd"/>
      <w:r>
        <w:t xml:space="preserve"> de la France dans ce domaine doit être source d’innovation et de valeur :</w:t>
      </w:r>
    </w:p>
    <w:p w:rsidR="00AE0B84" w:rsidRDefault="00AE0B84" w:rsidP="00AE0B84">
      <w:pPr>
        <w:pStyle w:val="Textebrut"/>
      </w:pPr>
      <w:r>
        <w:t xml:space="preserve">– aussi bien du point de vue de la conception hardware et de la production de composants (puces), sous-composants (capteurs) et </w:t>
      </w:r>
      <w:proofErr w:type="spellStart"/>
      <w:r>
        <w:t>devices</w:t>
      </w:r>
      <w:proofErr w:type="spellEnd"/>
      <w:r>
        <w:t xml:space="preserve"> pour le marché de l’IOT satisfaisant ce besoin </w:t>
      </w:r>
      <w:proofErr w:type="spellStart"/>
      <w:r>
        <w:t>PbD</w:t>
      </w:r>
      <w:proofErr w:type="spellEnd"/>
      <w:r>
        <w:t xml:space="preserve"> et </w:t>
      </w:r>
      <w:proofErr w:type="spellStart"/>
      <w:r>
        <w:t>SbD</w:t>
      </w:r>
      <w:proofErr w:type="spellEnd"/>
      <w:r>
        <w:t xml:space="preserve"> – que du point de vue software avec le besoin de compétences d’ingénieur pour développer des plateformes et des API,.</w:t>
      </w:r>
    </w:p>
    <w:p w:rsidR="00AE0B84" w:rsidRDefault="00AE0B84" w:rsidP="00AE0B84">
      <w:pPr>
        <w:pStyle w:val="Textebrut"/>
      </w:pPr>
    </w:p>
    <w:p w:rsidR="00AE0B84" w:rsidRDefault="00AE0B84" w:rsidP="00AE0B84">
      <w:pPr>
        <w:pStyle w:val="Textebrut"/>
      </w:pPr>
      <w:r>
        <w:t xml:space="preserve">Le rapport de </w:t>
      </w:r>
      <w:proofErr w:type="spellStart"/>
      <w:r>
        <w:t>Gemalto</w:t>
      </w:r>
      <w:proofErr w:type="spellEnd"/>
      <w:r>
        <w:t xml:space="preserve"> de 2016 sur l’IOT (</w:t>
      </w:r>
      <w:hyperlink r:id="rId17" w:history="1">
        <w:r>
          <w:rPr>
            <w:rStyle w:val="Lienhypertexte"/>
          </w:rPr>
          <w:t>http://www.gemalto.com/iot/documents/iot-survey</w:t>
        </w:r>
      </w:hyperlink>
      <w:r>
        <w:t xml:space="preserve">) est </w:t>
      </w:r>
      <w:proofErr w:type="gramStart"/>
      <w:r>
        <w:t>un</w:t>
      </w:r>
      <w:proofErr w:type="gramEnd"/>
      <w:r>
        <w:t xml:space="preserve"> bonne lecture pour mettre en évidence une partie de ces besoins d’Interopérabilité, de </w:t>
      </w:r>
      <w:proofErr w:type="spellStart"/>
      <w:r>
        <w:t>privacy</w:t>
      </w:r>
      <w:proofErr w:type="spellEnd"/>
      <w:r>
        <w:t xml:space="preserve"> by design et </w:t>
      </w:r>
      <w:proofErr w:type="spellStart"/>
      <w:r>
        <w:t>security</w:t>
      </w:r>
      <w:proofErr w:type="spellEnd"/>
      <w:r>
        <w:t xml:space="preserve"> by design.</w:t>
      </w:r>
    </w:p>
    <w:p w:rsidR="00AE0B84" w:rsidRDefault="00AE0B84" w:rsidP="00AE0B84">
      <w:pPr>
        <w:pStyle w:val="Textebrut"/>
      </w:pPr>
    </w:p>
    <w:p w:rsidR="00AE0B84" w:rsidRDefault="00AE0B84" w:rsidP="00AE0B84">
      <w:pPr>
        <w:pStyle w:val="Textebrut"/>
      </w:pPr>
      <w:r>
        <w:t>q13</w:t>
      </w:r>
    </w:p>
    <w:p w:rsidR="00AE0B84" w:rsidRDefault="00AE0B84" w:rsidP="00AE0B84">
      <w:pPr>
        <w:pStyle w:val="Textebrut"/>
      </w:pPr>
    </w:p>
    <w:p w:rsidR="00AE0B84" w:rsidRDefault="00AE0B84" w:rsidP="00AE0B84">
      <w:pPr>
        <w:pStyle w:val="Textebrut"/>
      </w:pPr>
      <w:r>
        <w:t>A la vue des personnes auditées (institutionnels majeurs, grands groupes) pour établir la partie 1 sur la cartographie, le dialogue doit être absolument plus ouvert vers des acteurs plus variés :</w:t>
      </w:r>
    </w:p>
    <w:p w:rsidR="00AE0B84" w:rsidRDefault="00AE0B84" w:rsidP="00AE0B84">
      <w:pPr>
        <w:pStyle w:val="Textebrut"/>
      </w:pPr>
      <w:r>
        <w:t xml:space="preserve">Conformément à ma réponse à Q1, le dialogue doit être ouvert aux PME, TPE et </w:t>
      </w:r>
      <w:proofErr w:type="spellStart"/>
      <w:r>
        <w:t>start</w:t>
      </w:r>
      <w:proofErr w:type="spellEnd"/>
      <w:r>
        <w:t xml:space="preserve"> up mais aussi avec les laboratoires de recherche publics en y associant les IRT qui dans le cadre de PIA travaillent sur des thématiques connexes (ex IRT System X : </w:t>
      </w:r>
      <w:proofErr w:type="spellStart"/>
      <w:r>
        <w:t>smartcities</w:t>
      </w:r>
      <w:proofErr w:type="spellEnd"/>
      <w:r>
        <w:t>, véhicules connectés ….).</w:t>
      </w:r>
    </w:p>
    <w:p w:rsidR="00AE0B84" w:rsidRDefault="00AE0B84" w:rsidP="00AE0B84">
      <w:pPr>
        <w:pStyle w:val="Textebrut"/>
      </w:pPr>
      <w:r>
        <w:t xml:space="preserve">D’autre part, le point de vue utilisateur via un dialogue avec des acteurs du milieu associatif représentant les usagers </w:t>
      </w:r>
      <w:proofErr w:type="gramStart"/>
      <w:r>
        <w:t>( associations</w:t>
      </w:r>
      <w:proofErr w:type="gramEnd"/>
      <w:r>
        <w:t xml:space="preserve"> de consommateurs reconnues, LDH ….) devrait être considéré.</w:t>
      </w:r>
    </w:p>
    <w:p w:rsidR="00AE0B84" w:rsidRDefault="00AE0B84" w:rsidP="00AE0B84">
      <w:pPr>
        <w:pStyle w:val="Textebrut"/>
      </w:pPr>
    </w:p>
    <w:p w:rsidR="00AE0B84" w:rsidRDefault="00AE0B84" w:rsidP="00AE0B84">
      <w:pPr>
        <w:pStyle w:val="Textebrut"/>
      </w:pPr>
    </w:p>
    <w:p w:rsidR="00AE0B84" w:rsidRDefault="00AE0B84" w:rsidP="00AE0B84">
      <w:pPr>
        <w:pStyle w:val="Textebrut"/>
      </w:pPr>
      <w:r>
        <w:t>q14</w:t>
      </w:r>
    </w:p>
    <w:p w:rsidR="00AE0B84" w:rsidRDefault="00AE0B84" w:rsidP="00AE0B84">
      <w:pPr>
        <w:pStyle w:val="Textebrut"/>
      </w:pPr>
    </w:p>
    <w:p w:rsidR="00AE0B84" w:rsidRDefault="00AE0B84" w:rsidP="00AE0B84">
      <w:pPr>
        <w:pStyle w:val="Textebrut"/>
      </w:pPr>
      <w:r>
        <w:t xml:space="preserve">De façon générale le droit au chiffrement (sans back </w:t>
      </w:r>
      <w:proofErr w:type="spellStart"/>
      <w:r>
        <w:t>door</w:t>
      </w:r>
      <w:proofErr w:type="spellEnd"/>
      <w:r>
        <w:t>) des données transmises pour le domaine IOT doit être institutionnalisé pour toutes les données personnelles des usagers dans des applications BtoC. De même toutes les données devraient être filtrées sur équipements de l’utilisateur (</w:t>
      </w:r>
      <w:proofErr w:type="spellStart"/>
      <w:r>
        <w:t>device</w:t>
      </w:r>
      <w:proofErr w:type="spellEnd"/>
      <w:r>
        <w:t>, ou box ….) pour ne transmettre que les données utiles.</w:t>
      </w:r>
    </w:p>
    <w:p w:rsidR="00AE0B84" w:rsidRDefault="00AE0B84" w:rsidP="00AE0B84">
      <w:pPr>
        <w:pStyle w:val="Textebrut"/>
      </w:pPr>
    </w:p>
    <w:p w:rsidR="00AE0B84" w:rsidRDefault="00AE0B84" w:rsidP="00AE0B84">
      <w:pPr>
        <w:pStyle w:val="Textebrut"/>
      </w:pPr>
      <w:r>
        <w:t xml:space="preserve">Le principe d’anonymisation des données déjà entériné par la loi pour les applications liées à la santé doit être sanctuarisé pour des applications </w:t>
      </w:r>
      <w:proofErr w:type="spellStart"/>
      <w:r>
        <w:t>BtoG</w:t>
      </w:r>
      <w:proofErr w:type="spellEnd"/>
      <w:r>
        <w:t>.</w:t>
      </w:r>
    </w:p>
    <w:p w:rsidR="00AE0B84" w:rsidRDefault="00AE0B84" w:rsidP="00AE0B84">
      <w:pPr>
        <w:pStyle w:val="Textebrut"/>
      </w:pPr>
    </w:p>
    <w:p w:rsidR="00AE0B84" w:rsidRDefault="00AE0B84" w:rsidP="00AE0B84">
      <w:pPr>
        <w:pStyle w:val="Textebrut"/>
      </w:pPr>
    </w:p>
    <w:p w:rsidR="00A8240E" w:rsidRDefault="00A8240E">
      <w:bookmarkStart w:id="0" w:name="_GoBack"/>
      <w:bookmarkEnd w:id="0"/>
    </w:p>
    <w:sectPr w:rsidR="00A8240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0B84"/>
    <w:rsid w:val="00A8240E"/>
    <w:rsid w:val="00AE0B8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semiHidden/>
    <w:unhideWhenUsed/>
    <w:rsid w:val="00AE0B84"/>
    <w:rPr>
      <w:color w:val="0000FF" w:themeColor="hyperlink"/>
      <w:u w:val="single"/>
    </w:rPr>
  </w:style>
  <w:style w:type="paragraph" w:styleId="Textebrut">
    <w:name w:val="Plain Text"/>
    <w:basedOn w:val="Normal"/>
    <w:link w:val="TextebrutCar"/>
    <w:uiPriority w:val="99"/>
    <w:semiHidden/>
    <w:unhideWhenUsed/>
    <w:rsid w:val="00AE0B84"/>
    <w:pPr>
      <w:spacing w:after="0" w:line="240" w:lineRule="auto"/>
    </w:pPr>
    <w:rPr>
      <w:rFonts w:ascii="Calibri" w:hAnsi="Calibri"/>
      <w:szCs w:val="21"/>
    </w:rPr>
  </w:style>
  <w:style w:type="character" w:customStyle="1" w:styleId="TextebrutCar">
    <w:name w:val="Texte brut Car"/>
    <w:basedOn w:val="Policepardfaut"/>
    <w:link w:val="Textebrut"/>
    <w:uiPriority w:val="99"/>
    <w:semiHidden/>
    <w:rsid w:val="00AE0B84"/>
    <w:rPr>
      <w:rFonts w:ascii="Calibri" w:hAnsi="Calibri"/>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semiHidden/>
    <w:unhideWhenUsed/>
    <w:rsid w:val="00AE0B84"/>
    <w:rPr>
      <w:color w:val="0000FF" w:themeColor="hyperlink"/>
      <w:u w:val="single"/>
    </w:rPr>
  </w:style>
  <w:style w:type="paragraph" w:styleId="Textebrut">
    <w:name w:val="Plain Text"/>
    <w:basedOn w:val="Normal"/>
    <w:link w:val="TextebrutCar"/>
    <w:uiPriority w:val="99"/>
    <w:semiHidden/>
    <w:unhideWhenUsed/>
    <w:rsid w:val="00AE0B84"/>
    <w:pPr>
      <w:spacing w:after="0" w:line="240" w:lineRule="auto"/>
    </w:pPr>
    <w:rPr>
      <w:rFonts w:ascii="Calibri" w:hAnsi="Calibri"/>
      <w:szCs w:val="21"/>
    </w:rPr>
  </w:style>
  <w:style w:type="character" w:customStyle="1" w:styleId="TextebrutCar">
    <w:name w:val="Texte brut Car"/>
    <w:basedOn w:val="Policepardfaut"/>
    <w:link w:val="Textebrut"/>
    <w:uiPriority w:val="99"/>
    <w:semiHidden/>
    <w:rsid w:val="00AE0B84"/>
    <w:rPr>
      <w:rFonts w:ascii="Calibri" w:hAnsi="Calibri"/>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0058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lesenr.fr/actualites/actus/856-li-fi-de-la-lumiere-en-remplac" TargetMode="External"/><Relationship Id="rId13" Type="http://schemas.openxmlformats.org/officeDocument/2006/relationships/hyperlink" Target="http://www.gemalto.com/iot/documents/iot-survey"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cen.eu/work/areas/ICT/Pages/WS-IS%C3%86N.aspx" TargetMode="External"/><Relationship Id="rId12" Type="http://schemas.openxmlformats.org/officeDocument/2006/relationships/hyperlink" Target="https://www.cen.eu/work/areas/ICT/Pages/WS-IS%C3%86N.aspx" TargetMode="External"/><Relationship Id="rId17" Type="http://schemas.openxmlformats.org/officeDocument/2006/relationships/hyperlink" Target="http://www.gemalto.com/iot/documents/iot-survey" TargetMode="External"/><Relationship Id="rId2" Type="http://schemas.microsoft.com/office/2007/relationships/stylesWithEffects" Target="stylesWithEffects.xml"/><Relationship Id="rId16" Type="http://schemas.openxmlformats.org/officeDocument/2006/relationships/hyperlink" Target="https://www.cen.eu/work/areas/ICT/Pages/WS-IS%C3%86N.aspx" TargetMode="External"/><Relationship Id="rId1" Type="http://schemas.openxmlformats.org/officeDocument/2006/relationships/styles" Target="styles.xml"/><Relationship Id="rId6" Type="http://schemas.openxmlformats.org/officeDocument/2006/relationships/hyperlink" Target="http://aeternam.eu/" TargetMode="External"/><Relationship Id="rId11" Type="http://schemas.openxmlformats.org/officeDocument/2006/relationships/hyperlink" Target="http://aeternam.eu/" TargetMode="External"/><Relationship Id="rId5" Type="http://schemas.openxmlformats.org/officeDocument/2006/relationships/hyperlink" Target="https://github.com/WebOfTrustInfo/ID2020DesignWorkshop/blob/master/draft-documents/requirements-for-dids.md" TargetMode="External"/><Relationship Id="rId15" Type="http://schemas.openxmlformats.org/officeDocument/2006/relationships/hyperlink" Target="http://aeternam.eu/" TargetMode="External"/><Relationship Id="rId10" Type="http://schemas.openxmlformats.org/officeDocument/2006/relationships/hyperlink" Target="https://github.com/WebOfTrustInfo/ID2020DesignWorkshop/blob/master/draft-documents/requirements-for-dids.md"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laloidesparties.fr/iot-objets-connectes-droit" TargetMode="External"/><Relationship Id="rId14" Type="http://schemas.openxmlformats.org/officeDocument/2006/relationships/hyperlink" Target="https://github.com/WebOfTrustInfo/ID2020DesignWorkshop/blob/master/draft-documents/requirements-for-dids.md"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2308</Words>
  <Characters>12699</Characters>
  <Application>Microsoft Office Word</Application>
  <DocSecurity>0</DocSecurity>
  <Lines>105</Lines>
  <Paragraphs>29</Paragraphs>
  <ScaleCrop>false</ScaleCrop>
  <Company>ARCEP</Company>
  <LinksUpToDate>false</LinksUpToDate>
  <CharactersWithSpaces>14978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Administrateur</dc:creator>
  <cp:lastModifiedBy>Administrateur</cp:lastModifiedBy>
  <cp:revision>2</cp:revision>
  <dcterms:created xsi:type="dcterms:W3CDTF">2016-09-19T09:58:00Z</dcterms:created>
  <dcterms:modified xsi:type="dcterms:W3CDTF">2016-09-19T09:59:00Z</dcterms:modified>
</cp:coreProperties>
</file>